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068" w:type="dxa"/>
        <w:jc w:val="left"/>
        <w:tblInd w:w="-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1"/>
        <w:gridCol w:w="339"/>
        <w:gridCol w:w="116"/>
        <w:gridCol w:w="567"/>
        <w:gridCol w:w="142"/>
        <w:gridCol w:w="568"/>
        <w:gridCol w:w="253"/>
        <w:gridCol w:w="455"/>
        <w:gridCol w:w="283"/>
        <w:gridCol w:w="567"/>
        <w:gridCol w:w="227"/>
        <w:gridCol w:w="624"/>
        <w:gridCol w:w="142"/>
        <w:gridCol w:w="708"/>
        <w:gridCol w:w="59"/>
        <w:gridCol w:w="766"/>
        <w:gridCol w:w="26"/>
        <w:gridCol w:w="740"/>
        <w:gridCol w:w="766"/>
        <w:gridCol w:w="760"/>
        <w:gridCol w:w="708"/>
        <w:gridCol w:w="830"/>
      </w:tblGrid>
      <w:tr>
        <w:trPr>
          <w:trHeight w:val="1611" w:hRule="atLeast"/>
        </w:trPr>
        <w:tc>
          <w:tcPr>
            <w:tcW w:w="64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>
              <w:rPr>
                <w:rFonts w:ascii="Times New Roman" w:hAnsi="Times New Roman"/>
                <w:b/>
              </w:rPr>
              <w:t>Nazwa projektu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Rozporządzenie Ministra Spraw Wewnętrznych i Administracji zmieniające rozporządzenie w sprawie uposażenia zasadniczego oraz dodatków do uposażenia funkcjonariuszy Straży Granicznej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Ministerstwo Spraw Wewnętrznych i Administracji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Ministerstwo Rodziny i Polityki </w:t>
            </w:r>
            <w:r>
              <w:rPr>
                <w:rFonts w:eastAsia="Times New Roman" w:ascii="Times New Roman" w:hAnsi="Times New Roman"/>
                <w:bCs/>
                <w:kern w:val="2"/>
                <w:lang w:eastAsia="pl-PL"/>
              </w:rPr>
              <w:t>Społecznej</w:t>
            </w:r>
            <w:bookmarkEnd w:id="0"/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Maciej Wąsik – Sekretarz Stanu w Ministerstwie Spraw Wewnętrznych i Administracji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Kontakt do opiekuna merytorycznego projektu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 Renata Leoniak – Zastępca Dyrektora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Departamentu Porządku Publicznego MSWiA, </w:t>
              <w:br/>
              <w:t xml:space="preserve">tel. 22 601 40 70, e-mail: sekretariat.dpp@mswia.gov.pl </w:t>
            </w:r>
          </w:p>
        </w:tc>
        <w:tc>
          <w:tcPr>
            <w:tcW w:w="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sporządzenia</w:t>
              <w:br/>
            </w:r>
            <w:r>
              <w:rPr>
                <w:rFonts w:ascii="Times New Roman" w:hAnsi="Times New Roman"/>
              </w:rPr>
              <w:t>12 grudnia 2022 r.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  <w:bookmarkEnd w:id="2"/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Art.105, art. 108 ust. 3 ustawy z dnia 12 października 1990 r. o Straży Granicznej (</w:t>
            </w:r>
            <w:r>
              <w:rPr>
                <w:rFonts w:ascii="Times New Roman" w:hAnsi="Times New Roman"/>
              </w:rPr>
              <w:t>Dz. U. z 2022 r. poz. 1061, 1115 i 1855)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Nr w wykazie prac: 907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pacing w:lineRule="auto" w:line="240"/>
              <w:ind w:left="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OCENA SKUTKÓW REGULACJI</w:t>
            </w:r>
          </w:p>
        </w:tc>
      </w:tr>
      <w:tr>
        <w:trPr>
          <w:trHeight w:val="333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Jaki problem jest rozwiązywany?</w:t>
            </w:r>
            <w:bookmarkStart w:id="3" w:name="Wyb%25C3%25B3r1"/>
            <w:bookmarkEnd w:id="3"/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Obecna sytuacja geopolityczna powoduje znaczące zwiększenie zakresu realizowanych zadań przez funkcjonariuszy Straży Granicznej, dlatego też niezbędne jest podniesienie atrakcyjności pełnienia służby w formacji oraz zapewnienie adekwatnych dodatków do uposażeń w zależności od zakresu realizowanych działań. 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Przepisy obowiązującego rozporządzenia Ministra Spraw Wewnętrznych i Administracji w sprawie uposażenia zasadniczego oraz dodatków do uposażenia funkcjonariuszy Straży Granicznej (Dz. U. z 2022 r. poz. 2424) nie przewidują dodatku stołecznego dla funkcjonariuszy Straży Granicznej. Rozwiązania takie funkcjonują natomiast w przypadku Policji – policjanci pełniący służbę na stanowisku etatowym w Komendzie Stołecznej Policji bądź w innej jednostce organizacyjnej Policji, której terytorialny zasięg działania jest objęty terytorialnym zasięgiem działania Komendanta Stołecznego Policji otrzymują dodatek stołeczny. Podkreślić należy, że służba na stanowiskach etatowych w Komendzie Głównej Straży Granicznej, Biurze Spraw Wewnętrznych Straży Granicznej, Komendzie Nadwiślańskiego Oddziału Straży Granicznej, Placówce Straży Granicznej Warszawa – Okęcie albo Placówce Straży Granicznej w Warszawie, na obszarze miasta stołecznego Warszawy należy do najbardziej wymagających pod względem dyspozycyjności i odpowiedzialności. Ponadto, charakter zadań realizowanych przez tych funkcjonariuszy wymaga od nich posiadania szczególnych kwalifikacji </w:t>
              <w:br/>
              <w:t>i doświadczenia. Wskazać należy jednocześnie, że koszty utrzymania w Warszawie i powiatach okołowarszawskich są dużo wyższe, niż w innych rejonach kraju.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Ponadto, z uwagi na trudną sytuację na granicy wschodniej Rzeczypospolitej Polskiej, spowodowaną skomplikowaną sytuacją migracyjną na granicy z Białorusią, wojną na Ukrainie oraz działaniami o charakterze wojny hybrydowej prowadzonymi przez Federację Rosyjską i Białoruś, jak również znacznym obciążeniem związanym z kontrolą ruchu granicznego w portach lotniczych lub morskich przejściach granicznych, zasadnym jest dodatkowe zrekompensowanie trudów służby funkcjonariuszy poprzez ustanowienie dodatku granicznego.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Istotne jest również zwiększenie atrakcyjności pełnienia służby na niższych stanowiskach funkcyjnych. Obowiązujące przepisy określają minimalny dodatek funkcyjny w wysokości powyżej 10% podstawy naliczenia tego dodatku, stanowiącą sumę wysokości przysługującego funkcjonariuszowi uposażenia zasadniczego, według grupy tego uposażenia i dodatku za stopień, do których zostało zaszeregowane stanowisko służbowe, na którym funkcjonariusz pełni służbę i nie więcej niż: 80% albo 75% albo 70% podstawy naliczenia tego dodatku. Dolna granica dodatku funkcyjnego powoduje niską atrakcyjność tego dodatku na stanowiskach funkcyjnych niższego szczebla, tym bardziej, że zajmowanie stanowiska funkcyjnego wiąże się z utratą możliwości otrzymywania rekompensaty pieniężnej za nadgodziny. </w:t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>
        <w:trPr>
          <w:trHeight w:val="204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Wzorując się na przepisach obowiązujących w Policji, proponuje się przyznanie dodatku stołecznego funkcjonariuszom Straży Granicznej w służbie stałej i przygotowawczej, pełniącym służbę na stanowiskach w Komendzie Głównej Straży Granicznej, Biurze Spraw Wewnętrznych Straży Granicznej, Komendzie Nadwiślańskiego Oddziału Straży Granicznej, Placówce Straży Granicznej Warszawa – Okęcie oraz Placówce Straży Granicznej w Warszawie, na obszarze miasta stołecznego Warszawy. 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Proponuje się określenie wysokości dodatku na poziomie 31,50% kwoty bazowej (analogicznie jak obecnie w Policji). Oczekuje się, że wprowadzenie dodatku stołecznego korzystnie wpłynie na </w:t>
            </w:r>
            <w:r>
              <w:rPr>
                <w:rFonts w:ascii="Times New Roman" w:hAnsi="Times New Roman"/>
                <w:bCs/>
                <w:color w:val="000000"/>
              </w:rPr>
              <w:t xml:space="preserve">wzmocnienie atrakcyjności pełnienia służby </w:t>
              <w:br/>
              <w:t xml:space="preserve">w wymienionych jednostkach organizacyjnych Straży Granicznej, a wskutek tego – </w:t>
            </w:r>
            <w:r>
              <w:rPr>
                <w:rFonts w:ascii="Times New Roman" w:hAnsi="Times New Roman"/>
              </w:rPr>
              <w:t>zmniejszenie liczby wakatów, zatrzymanie funkcjonariuszy w służbie w Straży Granicznej oraz zwiększenie konkurencyjności na rynku pracy.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/>
              </w:rPr>
              <w:t>W zakresie dodatku granicznego proponuje się wprowadzenie rozwiązań, zgodnie z którymi u</w:t>
            </w:r>
            <w:r>
              <w:rPr>
                <w:rFonts w:ascii="Times New Roman" w:hAnsi="Times New Roman"/>
                <w:lang w:eastAsia="en-US"/>
              </w:rPr>
              <w:t>prawnionymi do jego pobierania będą funkcjonariusze Straży Granicznej</w:t>
            </w: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lang w:eastAsia="pl-PL"/>
              </w:rPr>
              <w:t xml:space="preserve">wykonujący zadania w bezpośredniej ochronie granicy państwowej lub kontroli ruchu granicznego na granicy państwowej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z Federacją Rosyjską, Republiką Białorusi, Ukrainą oraz w lotniczych </w:t>
              <w:br/>
              <w:t>lub morskich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przejściach granicznych, pełniący służbę</w:t>
            </w:r>
            <w:r>
              <w:rPr>
                <w:rFonts w:eastAsia="Times New Roman" w:ascii="Times New Roman" w:hAnsi="Times New Roman"/>
                <w:lang w:eastAsia="pl-PL"/>
              </w:rPr>
              <w:t xml:space="preserve"> na stanowiskach w placówkach Straży Granicznej w komórkach wewnętrznych właściwych do </w:t>
            </w:r>
            <w:r>
              <w:rPr>
                <w:rFonts w:ascii="Times New Roman" w:hAnsi="Times New Roman"/>
                <w:lang w:eastAsia="en-US"/>
              </w:rPr>
              <w:t xml:space="preserve">kontroli ruchu granicznego, służby granicznej, służby dyżurnej operacyjnej, wsparcia specjalistycznego, postępowań granicznych. Dodatek będzie także wypłacany </w:t>
            </w:r>
            <w:r>
              <w:rPr>
                <w:rFonts w:eastAsia="Times New Roman" w:ascii="Times New Roman" w:hAnsi="Times New Roman"/>
                <w:lang w:eastAsia="pl-PL"/>
              </w:rPr>
              <w:t>funkcjonariuszom, pełniącym służbę na innych niż ww. stanowiskach, którzy ze względu na bieżące potrzeby służby czasowo będą realizować przedmiotowe zadania.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Dodatek byłby wypłacany miesięcznie w kwocie 450 zł. Wprowadzenie przedmiotowego dodatku ma za zadanie wynagrodzenie trudów służby, ma on także pełnić funkcję motywacyjną.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 celu podniesienia uposażeń na niższych stanowiskach kierowniczych zdecydowano zwiększyć minimalną wysokość dodatku funkcyjnego do nie mniej niż 20%. </w:t>
            </w:r>
            <w:r>
              <w:rPr>
                <w:rFonts w:ascii="Times New Roman" w:hAnsi="Times New Roman"/>
              </w:rPr>
              <w:t xml:space="preserve">Oczekuje się, że proponowana regulacja poprawi warunki służby funkcjonariuszy Straży Granicznej zajmujących niższe stanowiska służbowe uprawniające do dodatku funkcyjnego oraz zachęci tych funkcjonariuszy do jak najdłuższego pozostawania w służbie. Charakter zadań realizowanych przez tych funkcjonariuszy wymaga od nich wyjątkowego poświęcenia, odporności psychicznej oraz szczególnych kwalifikacji </w:t>
              <w:br/>
              <w:t>i doświadczenia, dlatego zasadnym jest wprowadzenie rozwiązania, które zachęci funkcjonariuszy do kontynuowania służby w Straży Granicznej i uatrakcyjni zajmowanie stanowisk funkcyjnych różnego szczebla.</w:t>
            </w:r>
          </w:p>
        </w:tc>
      </w:tr>
      <w:tr>
        <w:trPr>
          <w:trHeight w:val="307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>
        <w:trPr>
          <w:trHeight w:val="1269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Rozporządzenie będzie odnosiło skutek wyłącznie wobec funkcjonariuszy Straży Granicznej, którzy podlegają przepisom pragmatyki służbowej Straży Granicznej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Wobec powyższego w przypadku formacji mundurowych, które działają </w:t>
              <w:br/>
              <w:t>na podstawie własnych przepisów pragmatyki służbowej, dokonywanie analizy porównawczej z rozwiązaniami z innych krajów w tym zakresie jest niecelowe.</w:t>
            </w:r>
          </w:p>
        </w:tc>
      </w:tr>
      <w:tr>
        <w:trPr>
          <w:trHeight w:val="359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>
        <w:trPr>
          <w:trHeight w:val="142" w:hRule="atLeast"/>
        </w:trPr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Źródło danych 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>
        <w:trPr>
          <w:trHeight w:val="434" w:hRule="atLeast"/>
        </w:trPr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Funkcjonariusze: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Komendy Głównej Straży Granicznej </w:t>
              <w:br/>
              <w:t>(z wyłączeniem struktur zamiejscowych),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Biura Spraw Wewnętrznych Straży Granicznej (z wyłączeniem struktur zamiejscowych)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Komendy Nadwiślańskiego Oddziału Straży Granicznej,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Placówki Straży Granicznej Warszawa – Okęcie,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Placówki Straży Granicznej </w:t>
              <w:br/>
              <w:t>w Warszawie.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Dodatek stołeczny – 2.016 etatów.</w:t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Dane własne Straży Granicznej. 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Ustanowienie dodatku stołecznego dla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funkcjonariuszy Straży Granicznej, pełniących służbę na stanowisku etatowym </w:t>
              <w:br/>
              <w:t xml:space="preserve">w Komendzie Nadwiślańskiego Oddziału Straży Granicznej, Placówce Straży Granicznej Warszawa – Okęcie, Placówce Straży Granicznej w Warszawie oraz funkcjonariuszom pełniącym służbę </w:t>
              <w:br/>
              <w:t xml:space="preserve">w Komendzie Głównej Straży Granicznej lub Biurze Spraw Wewnętrznych Straży Granicznej, na obszarze miasta stołecznego Warszawy.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Projektowane przepisy będą oddziaływały </w:t>
              <w:br/>
              <w:t xml:space="preserve">na właściwe grupy funkcjonariuszy pełniących służbę w określonych jednostkach organizacyjnych Straży Granicznej </w:t>
            </w:r>
          </w:p>
        </w:tc>
      </w:tr>
      <w:tr>
        <w:trPr>
          <w:trHeight w:val="434" w:hRule="atLeast"/>
        </w:trPr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Funkcjonariusze wykonujący zadania służby granicznej w bezpośredniej ochronie granicy państwowej lub kontroli ruchu granicznego na granicy państwowej z Federacją Rosyjską, Republiką Białorusi, Ukrainą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>lotniczych lub morskich przejściach granicznych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Dodatek graniczny – 6.500 etatów. 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Projektowane przepisy będą oddziaływały </w:t>
              <w:br/>
              <w:t xml:space="preserve">na właściwe grupy funkcjonariuszy pełniących służbę w Straży Granicznej, którzy wykonują zadania służby granicznej </w:t>
              <w:br/>
              <w:t xml:space="preserve">w bezpośredniej ochronie granicy państwowej lub kontroli ruchu granicznego na granicy państwowej Rzeczypospolitej Polskiej </w:t>
              <w:br/>
              <w:t xml:space="preserve">z Federacją Rosyjską, Republiką Białorusi, Ukrainą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>lotniczych lub morskich przejściach granicznych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</w:tr>
      <w:tr>
        <w:trPr>
          <w:trHeight w:val="434" w:hRule="atLeast"/>
        </w:trPr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Funkcjonariusze szczebla kierowniczego </w:t>
              <w:br/>
              <w:t>i samodzielnych stanowisk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Straży Granicznej uprawnionych </w:t>
              <w:br/>
              <w:t xml:space="preserve">do otrzymania dodatku funkcyjnego. </w:t>
            </w:r>
          </w:p>
        </w:tc>
        <w:tc>
          <w:tcPr>
            <w:tcW w:w="2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Dodatek funkcyjny – 1.503 etaty.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Podwyższenie minimalnego progu wysokości dodatku funkcyjnego przyznawanego funkcjonariuszom Straży Granicznej - </w:t>
              <w:br/>
              <w:t>w miesięcznej wysokości  nie mniej niż 20% podstawy wymiaru tego dodatku, stanowiącej sumę przysługującego funkcjonariuszowi uposażenia zasadniczego według grupy tego uposażenia i dodatku za stopień, do których zostało zaszeregowane stanowisko służbowe, na którym funkcjonariusz pełni służbę.</w:t>
            </w:r>
          </w:p>
        </w:tc>
      </w:tr>
      <w:tr>
        <w:trPr>
          <w:trHeight w:val="30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>
        <w:trPr>
          <w:trHeight w:val="3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Stosownie do wymogów art. 5 ustawy z dnia 7 lipca 2005 r. o działalności lobbingowej w procesie stanowienia prawa </w:t>
            </w:r>
            <w:r>
              <w:rPr>
                <w:rFonts w:ascii="Times New Roman" w:hAnsi="Times New Roman"/>
                <w:lang w:eastAsia="en-US"/>
              </w:rPr>
              <w:t xml:space="preserve">(Dz. U. z 2017 r. poz. 248) </w:t>
            </w:r>
            <w:r>
              <w:rPr>
                <w:rFonts w:ascii="Times New Roman" w:hAnsi="Times New Roman"/>
                <w:spacing w:val="-2"/>
              </w:rPr>
              <w:t xml:space="preserve"> projekt został zamieszczony w Biuletynie Informacji Publicznej na stronie podmiotowej Ministra Spraw Wewnętrznych i Administracji oraz zgodnie z § 52 ust. 1 uchwały nr 190 Rady Ministrów z dnia 29 października 2013 r. – Regulamin pracy Rady Ministrów (M.P. z 2022 r. poz. 348) został udostępniony w serwisie Rządowego Procesu Legislacyjnego.</w:t>
            </w:r>
          </w:p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został uzgodniony z </w:t>
            </w:r>
            <w:r>
              <w:rPr>
                <w:rFonts w:ascii="Times New Roman" w:hAnsi="Times New Roman"/>
                <w:spacing w:val="-2"/>
              </w:rPr>
              <w:t>Niezależnym Samorządnym Związkiem Zawodowym Funkcjonariuszy Straży Granicznej</w:t>
            </w:r>
            <w:r>
              <w:rPr>
                <w:rFonts w:ascii="Times New Roman" w:hAnsi="Times New Roman"/>
              </w:rPr>
              <w:t xml:space="preserve"> </w:t>
              <w:br/>
              <w:t>w ramach prowadzonych w MSWiA spotkań.</w:t>
            </w:r>
          </w:p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Projektowane rozporządzenie nie spowoduje skutków dla budżetów jednostek samorządu terytorialnego, w związku z tym projekt nie wymaga konsultacji z Komisją Wspólną Rządu i Samorządu Terytorialnego.</w:t>
            </w:r>
          </w:p>
        </w:tc>
      </w:tr>
      <w:tr>
        <w:trPr>
          <w:trHeight w:val="363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Wpływ na sektor finansów publicznych</w:t>
            </w:r>
          </w:p>
        </w:tc>
      </w:tr>
      <w:tr>
        <w:trPr>
          <w:trHeight w:val="142" w:hRule="atLeast"/>
        </w:trPr>
        <w:tc>
          <w:tcPr>
            <w:tcW w:w="1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(ceny stałe z 2022 r.)</w:t>
            </w:r>
          </w:p>
        </w:tc>
        <w:tc>
          <w:tcPr>
            <w:tcW w:w="919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>
        <w:trPr>
          <w:trHeight w:val="142" w:hRule="atLeast"/>
        </w:trPr>
        <w:tc>
          <w:tcPr>
            <w:tcW w:w="187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40" w:after="4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>
        <w:trPr>
          <w:trHeight w:val="321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114,450</w:t>
            </w:r>
          </w:p>
        </w:tc>
      </w:tr>
      <w:tr>
        <w:trPr>
          <w:trHeight w:val="321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2,594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32,899</w:t>
            </w:r>
          </w:p>
        </w:tc>
      </w:tr>
      <w:tr>
        <w:trPr>
          <w:trHeight w:val="344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34,509</w:t>
            </w:r>
          </w:p>
        </w:tc>
      </w:tr>
      <w:tr>
        <w:trPr>
          <w:trHeight w:val="344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3,986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47,042</w:t>
            </w:r>
          </w:p>
        </w:tc>
      </w:tr>
      <w:tr>
        <w:trPr>
          <w:trHeight w:val="330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Wydatki ogółem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44,293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561,758</w:t>
            </w:r>
          </w:p>
        </w:tc>
      </w:tr>
      <w:tr>
        <w:trPr>
          <w:trHeight w:val="330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44,293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57,578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561,758</w:t>
            </w:r>
          </w:p>
        </w:tc>
      </w:tr>
      <w:tr>
        <w:trPr>
          <w:trHeight w:val="351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>
        <w:trPr>
          <w:trHeight w:val="351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>
        <w:trPr>
          <w:trHeight w:val="360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-34,992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-45,236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-45,885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-45,885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-45,885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-45,885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-45,885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-45,885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-45,885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-45,885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-447,308</w:t>
            </w:r>
          </w:p>
        </w:tc>
      </w:tr>
      <w:tr>
        <w:trPr>
          <w:trHeight w:val="360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-41,699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-53,512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-54,206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-54,206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-54,206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-54,206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-54,206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-54,206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-54,206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-54,206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-528,859</w:t>
            </w:r>
          </w:p>
        </w:tc>
      </w:tr>
      <w:tr>
        <w:trPr>
          <w:trHeight w:val="357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34,509</w:t>
            </w:r>
          </w:p>
        </w:tc>
      </w:tr>
      <w:tr>
        <w:trPr>
          <w:trHeight w:val="357" w:hRule="atLeast"/>
        </w:trPr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3,986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47,042</w:t>
            </w:r>
          </w:p>
        </w:tc>
      </w:tr>
      <w:tr>
        <w:trPr>
          <w:trHeight w:val="348" w:hRule="atLeast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hd w:fill="FFFF00" w:val="clear"/>
              </w:rPr>
            </w:pPr>
            <w:r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7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4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 pierwszym roku, tj. 2023 finansowanie odbędzie się ze środków ujętych </w:t>
              <w:br/>
              <w:t>w rezerwie celowej. W latach kolejnych ze środków ujętych w części 42 – Sprawy wewnętrzne w ramach środków przewidzianych na funkcjonowanie Straży Granicznej.</w:t>
            </w:r>
          </w:p>
        </w:tc>
      </w:tr>
      <w:tr>
        <w:trPr>
          <w:trHeight w:val="920" w:hRule="atLeast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hd w:fill="FFFF00" w:val="clear"/>
              </w:rPr>
            </w:pPr>
            <w:r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7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Wprowadzenie dodatku stołecznego dla funkcjonariuszy pełniących służbę </w:t>
              <w:br/>
              <w:t>w wymienionych powyżej jednostkach organizacyjnych Straży Granicznej dotyczy 2.016 etatów.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Wprowadzenie dodatku granicznego dla funkcjonariuszy wykonujących zadania służby granicznej w bezpośredniej ochronie granicy państwowej lub kontroli ruchu granicznego na granicy państwowej Rzeczypospolitej Polskiej z Federacją Rosyjską, Republiką Białorusi, Ukrainą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oraz </w:t>
            </w:r>
            <w:r>
              <w:rPr>
                <w:rFonts w:ascii="Times New Roman" w:hAnsi="Times New Roman"/>
              </w:rPr>
              <w:t>lotniczych lub morskich przejściach granicznych</w:t>
            </w:r>
            <w:r>
              <w:rPr>
                <w:rFonts w:ascii="Times New Roman" w:hAnsi="Times New Roman"/>
                <w:spacing w:val="-2"/>
              </w:rPr>
              <w:t xml:space="preserve"> dotyczy 6.500</w:t>
            </w:r>
            <w:r>
              <w:rPr>
                <w:rFonts w:ascii="Times New Roman" w:hAnsi="Times New Roman"/>
                <w:bCs/>
              </w:rPr>
              <w:t xml:space="preserve"> funkcjonariuszy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Podwyższenie wysokości należnego funkcjonariuszom dodatku funkcyjnego </w:t>
              <w:br/>
              <w:t xml:space="preserve">w związku z wprowadzeniem minimalnego progu miesięcznej wysokości tego dodatku, tj. na poziomie nie mniej niż  20% podstawy wymiaru określonej w § 7 ust. 3 rozporządzenia </w:t>
            </w:r>
            <w:r>
              <w:rPr>
                <w:rFonts w:ascii="Times New Roman" w:hAnsi="Times New Roman"/>
                <w:bCs/>
              </w:rPr>
              <w:t xml:space="preserve">dotyczy 1.503 funkcjonariuszy.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Szacowane roczne koszty w pierwszym roku wynoszą 44.293 tys. zł, z tego: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wprowadzenie dodatku stołecznego dla określonej w projekcie grupy funkcjonariuszy wyniosą 11.054 tys. zł (bez wydatków relacjonowanych);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wprowadzenie dodatku granicznego dla określonej w projekcie grupy funkcjonariuszy wyniosą 29.250 tys. zł (bez wydatków relacjonowanych);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podwyższenie wysokości dodatku funkcyjnego wyniosą 3.989 tys. zł (bez wydatków relacjonowanych).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2024 roku nastąpi wzrost wydatków z tytułu skutku przechodzącego z roku ubiegłego za dwa miesiące oraz z tytułu nagrody rocznej i wyniesie 56.841 tys. zł. </w:t>
              <w:br/>
              <w:t xml:space="preserve">W latach kolejnych roczny skutek wyniesie 57.578 tys. zł.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bowiem z art. 113a ustawy o Straży Granicznej, funkcjonariuszowi za służbę pełnioną w danym roku kalendarzowym przysługuje nagroda roczna </w:t>
              <w:br/>
              <w:t>w wysokości 1/12 uposażenia otrzymanego w roku kalendarzowym, za który nagroda przysługuje.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2023 oznaczony został jako rok 1, natomiast rok 2032 jako rok 10. </w:t>
            </w:r>
          </w:p>
        </w:tc>
      </w:tr>
      <w:tr>
        <w:trPr>
          <w:trHeight w:val="345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Skutki</w:t>
            </w:r>
          </w:p>
        </w:tc>
      </w:tr>
      <w:tr>
        <w:trPr>
          <w:trHeight w:val="142" w:hRule="atLeast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spacing w:val="-2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</w:tr>
      <w:tr>
        <w:trPr>
          <w:trHeight w:val="142" w:hRule="atLeast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-113" w:hanging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W ujęciu pieniężnym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(w mln zł,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ceny stałe 2022 r.)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</w:r>
          </w:p>
        </w:tc>
      </w:tr>
      <w:tr>
        <w:trPr>
          <w:trHeight w:val="142" w:hRule="atLeast"/>
        </w:trPr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b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</w:r>
          </w:p>
        </w:tc>
      </w:tr>
      <w:tr>
        <w:trPr>
          <w:trHeight w:val="142" w:hRule="atLeast"/>
        </w:trPr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b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34,992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45,236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45,885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45,885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447,308</w:t>
            </w:r>
          </w:p>
        </w:tc>
      </w:tr>
      <w:tr>
        <w:trPr>
          <w:trHeight w:val="142" w:hRule="atLeast"/>
        </w:trPr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b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</w:r>
          </w:p>
        </w:tc>
      </w:tr>
      <w:tr>
        <w:trPr>
          <w:trHeight w:val="142" w:hRule="atLeast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</w:r>
          </w:p>
        </w:tc>
      </w:tr>
      <w:tr>
        <w:trPr>
          <w:trHeight w:val="142" w:hRule="atLeast"/>
        </w:trPr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b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Przedmiotowy projekt z uwagi na swój charakter nie zawiera regulacji dotyczących majątkowych praw i obowiązków przedsiębiorców lub praw i obowiązków przedsiębiorców wobec organów administracji publicznej, a zatem nie podlega obowiązkowi dokonania oceny przewidywanego wpływu proponowanych rozwiązań na działalność mikro-, małych i średnich przedsiębiorców, stosownie do przepisów ustawy z dnia 6 marca 2018 r. – Prawo przedsiębiorców (Dz. U. z 2021 r. poz. 162, </w:t>
              <w:br/>
              <w:t>z późn. zm.).</w:t>
            </w:r>
          </w:p>
        </w:tc>
      </w:tr>
      <w:tr>
        <w:trPr>
          <w:trHeight w:val="596" w:hRule="atLeast"/>
        </w:trPr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b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right" w:pos="1936" w:leader="none"/>
              </w:tabs>
              <w:spacing w:lineRule="auto" w:line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7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before="0" w:after="4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Projektowane rozporządzenie będzie miało wpływ na poprawę warunków finansowych funkcjonariuszy Straży Granicznej, a także ich rodzin, poprzez podniesienie uposażeń.</w:t>
            </w:r>
          </w:p>
        </w:tc>
      </w:tr>
      <w:tr>
        <w:trPr>
          <w:trHeight w:val="240" w:hRule="atLeast"/>
        </w:trPr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b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right" w:pos="1936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00" w:leader="none"/>
              </w:tabs>
              <w:snapToGrid w:val="false"/>
              <w:spacing w:before="0" w:after="4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Wejście w życie rozporządzenia nie będzie miało wpływu na konkurencyjność gospodarki i przedsiębiorczość, w tym funkcjonowanie przedsiębiorców w tym na rodzinę, obywateli i gospodarstwa domowe oraz na osoby starsze i niepełnosprawne.</w:t>
            </w:r>
          </w:p>
        </w:tc>
      </w:tr>
      <w:tr>
        <w:trPr>
          <w:trHeight w:val="142" w:hRule="atLeast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Niemierzalne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</w:r>
          </w:p>
        </w:tc>
      </w:tr>
      <w:tr>
        <w:trPr>
          <w:trHeight w:val="142" w:hRule="atLeast"/>
        </w:trPr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b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</w:r>
          </w:p>
        </w:tc>
      </w:tr>
      <w:tr>
        <w:trPr>
          <w:trHeight w:val="910" w:hRule="atLeast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7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nie zawiera regulacji dotyczących majątkowych praw i obowiązków przedsiębiorców lub praw i obowiązków przedsiębiorców wobec organów administracji publicznej i nie podlega obowiązkowi dokonania oceny przewidywanego wpływu proponowanych rozwiązań na działalność mikroprzedsiębiorców, małych i średnich przedsiębiorców stosownie do przepisów ustawy z dnia 6 marca 2018 r. – Prawo przedsiębiorców.</w:t>
            </w:r>
          </w:p>
        </w:tc>
      </w:tr>
      <w:tr>
        <w:trPr>
          <w:trHeight w:val="3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Zmiana obciążeń regulacyjnych (w tym obowiązków informacyjnych) wynikających z projektu</w:t>
            </w:r>
          </w:p>
        </w:tc>
      </w:tr>
      <w:tr>
        <w:trPr>
          <w:trHeight w:val="151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" w:name="__Fieldmark__612_1570448754"/>
            <w:bookmarkStart w:id="5" w:name="__Fieldmark__612_1570448754"/>
            <w:bookmarkEnd w:id="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>
        <w:trPr>
          <w:trHeight w:val="946" w:hRule="atLeast"/>
        </w:trPr>
        <w:tc>
          <w:tcPr>
            <w:tcW w:w="4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61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6" w:name="__Fieldmark__619_1570448754"/>
            <w:bookmarkStart w:id="7" w:name="__Fieldmark__619_1570448754"/>
            <w:bookmarkEnd w:id="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tak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8" w:name="__Fieldmark__623_1570448754"/>
            <w:bookmarkStart w:id="9" w:name="__Fieldmark__623_1570448754"/>
            <w:bookmarkEnd w:id="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nie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0" w:name="__Fieldmark__627_1570448754"/>
            <w:bookmarkStart w:id="11" w:name="__Fieldmark__627_1570448754"/>
            <w:bookmarkEnd w:id="1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nie dotyczy</w:t>
            </w:r>
          </w:p>
        </w:tc>
      </w:tr>
      <w:tr>
        <w:trPr>
          <w:trHeight w:val="1048" w:hRule="atLeast"/>
        </w:trPr>
        <w:tc>
          <w:tcPr>
            <w:tcW w:w="4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2" w:name="__Fieldmark__631_1570448754"/>
            <w:bookmarkStart w:id="13" w:name="__Fieldmark__631_1570448754"/>
            <w:bookmarkEnd w:id="1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4" w:name="__Fieldmark__636_1570448754"/>
            <w:bookmarkStart w:id="15" w:name="__Fieldmark__636_1570448754"/>
            <w:bookmarkEnd w:id="1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zmniejszenie liczby procedur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6" w:name="__Fieldmark__641_1570448754"/>
            <w:bookmarkStart w:id="17" w:name="__Fieldmark__641_1570448754"/>
            <w:bookmarkEnd w:id="1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8" w:name="__Fieldmark__646_1570448754"/>
            <w:bookmarkStart w:id="19" w:name="__Fieldmark__646_1570448754"/>
            <w:bookmarkEnd w:id="1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inne:</w:t>
            </w:r>
            <w:r>
              <w:rPr>
                <w:rFonts w:ascii="Times New Roman" w:hAnsi="Times New Roman"/>
              </w:rPr>
              <w:t xml:space="preserve"> </w:t>
            </w:r>
            <w:r>
              <w:fldChar w:fldCharType="begin">
                <w:ffData>
                  <w:name w:val="Bookmark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1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0" w:name="__Fieldmark__658_1570448754"/>
            <w:bookmarkStart w:id="21" w:name="__Fieldmark__658_1570448754"/>
            <w:bookmarkEnd w:id="2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zwiększenie liczby dokumentów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2" w:name="__Fieldmark__663_1570448754"/>
            <w:bookmarkStart w:id="23" w:name="__Fieldmark__663_1570448754"/>
            <w:bookmarkEnd w:id="2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zwiększenie liczby procedur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4" w:name="__Fieldmark__668_1570448754"/>
            <w:bookmarkStart w:id="25" w:name="__Fieldmark__668_1570448754"/>
            <w:bookmarkEnd w:id="2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6" w:name="__Fieldmark__673_1570448754"/>
            <w:bookmarkStart w:id="27" w:name="__Fieldmark__673_1570448754"/>
            <w:bookmarkEnd w:id="2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inne:</w:t>
            </w:r>
            <w:r>
              <w:rPr>
                <w:rFonts w:ascii="Times New Roman" w:hAnsi="Times New Roman"/>
              </w:rPr>
              <w:t xml:space="preserve"> </w:t>
            </w:r>
            <w:r>
              <w:fldChar w:fldCharType="begin">
                <w:ffData>
                  <w:name w:val="Bookmark1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870" w:hRule="atLeast"/>
        </w:trPr>
        <w:tc>
          <w:tcPr>
            <w:tcW w:w="4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1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8" w:name="__Fieldmark__686_1570448754"/>
            <w:bookmarkStart w:id="29" w:name="__Fieldmark__686_1570448754"/>
            <w:bookmarkEnd w:id="2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tak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0" w:name="__Fieldmark__690_1570448754"/>
            <w:bookmarkStart w:id="31" w:name="__Fieldmark__690_1570448754"/>
            <w:bookmarkEnd w:id="3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nie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2" w:name="__Fieldmark__694_1570448754"/>
            <w:bookmarkStart w:id="33" w:name="__Fieldmark__694_1570448754"/>
            <w:bookmarkEnd w:id="3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>
        <w:trPr>
          <w:trHeight w:val="328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Komentarz: nie dotyczy</w:t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Projektowane rozporządzenie pozytywnie wpłynie na służbę w Straży Granicznej poprzez zwiększenie atrakcyjności </w:t>
              <w:br/>
              <w:t xml:space="preserve">i konkurencyjności pełnienia tej służby w grupach funkcjonariuszy, których przedmiotowe zmiany dotyczą. Liczba etatów jest jednakże na tyle mała w ujęciu całego rynku w kraju, że wpływ ten na ten rynek będzie znikomy i odczuwalny głównie w ramach wspomnianej formacji. </w:t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>
        <w:trPr>
          <w:trHeight w:val="1031" w:hRule="atLeast"/>
        </w:trPr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4" w:name="__Fieldmark__705_1570448754"/>
            <w:bookmarkStart w:id="35" w:name="__Fieldmark__705_1570448754"/>
            <w:bookmarkEnd w:id="3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środowisko naturalne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6" w:name="__Fieldmark__710_1570448754"/>
            <w:bookmarkStart w:id="37" w:name="__Fieldmark__710_1570448754"/>
            <w:bookmarkEnd w:id="3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sytuacja i rozwój regionalny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8" w:name="__Fieldmark__714_1570448754"/>
            <w:bookmarkStart w:id="39" w:name="__Fieldmark__714_1570448754"/>
            <w:bookmarkEnd w:id="3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sądy powszechne, administracyjne lub wojskowe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0" w:name="__Fieldmark__719_1570448754"/>
            <w:bookmarkStart w:id="41" w:name="__Fieldmark__719_1570448754"/>
            <w:bookmarkEnd w:id="4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inne: </w:t>
            </w:r>
            <w:r>
              <w:fldChar w:fldCharType="begin">
                <w:ffData>
                  <w:name w:val="Bookmark2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bezpieczeństwo"/>
                  </w:textInput>
                </w:ffData>
              </w:fldChar>
            </w:r>
            <w:r>
              <w:rPr>
                <w:spacing w:val="-2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spacing w:val="-2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</w:rPr>
              <w:t>bezpieczeństwo</w: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spacing w:val="-2"/>
                <w:rFonts w:ascii="Times New Roman" w:hAnsi="Times New Roman"/>
              </w:rPr>
              <w:fldChar w:fldCharType="end"/>
            </w:r>
          </w:p>
        </w:tc>
        <w:tc>
          <w:tcPr>
            <w:tcW w:w="4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2" w:name="__Fieldmark__731_1570448754"/>
            <w:bookmarkStart w:id="43" w:name="__Fieldmark__731_1570448754"/>
            <w:bookmarkEnd w:id="4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demografia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4" w:name="__Fieldmark__736_1570448754"/>
            <w:bookmarkStart w:id="45" w:name="__Fieldmark__736_1570448754"/>
            <w:bookmarkEnd w:id="4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6" w:name="__Fieldmark__740_1570448754"/>
            <w:bookmarkStart w:id="47" w:name="__Fieldmark__740_1570448754"/>
            <w:bookmarkEnd w:id="4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informatyzacja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8" w:name="__Fieldmark__745_1570448754"/>
            <w:bookmarkStart w:id="49" w:name="__Fieldmark__745_1570448754"/>
            <w:bookmarkEnd w:id="4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zdrowie</w:t>
            </w:r>
          </w:p>
        </w:tc>
      </w:tr>
      <w:tr>
        <w:trPr>
          <w:trHeight w:val="287" w:hRule="atLeast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76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Zakłada się, że przyznanie dodatku stołecznego,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granicznego oraz </w:t>
            </w:r>
            <w:r>
              <w:rPr>
                <w:rFonts w:ascii="Times New Roman" w:hAnsi="Times New Roman"/>
                <w:lang w:eastAsia="pl-PL"/>
              </w:rPr>
              <w:t xml:space="preserve">ustanowienie minimalnego progu wysokości dodatku funkcyjnego </w:t>
            </w:r>
            <w:r>
              <w:rPr>
                <w:rFonts w:ascii="Times New Roman" w:hAnsi="Times New Roman"/>
                <w:spacing w:val="-2"/>
              </w:rPr>
              <w:t xml:space="preserve">wskazanym powyżej grupom funkcjonariuszy, korzystnie wpłynie na wzmocnienie atrakcyjności pełnienia służby </w:t>
              <w:br/>
              <w:t xml:space="preserve">w tych jednostkach. </w:t>
            </w:r>
            <w:r>
              <w:rPr>
                <w:rFonts w:ascii="Times New Roman" w:hAnsi="Times New Roman"/>
                <w:lang w:eastAsia="pl-PL"/>
              </w:rPr>
              <w:t xml:space="preserve">Zakłada się, że wejście w życie regulacji przyczyni się do zmniejszenia w nich liczby wakatów oraz </w:t>
            </w:r>
            <w:r>
              <w:rPr>
                <w:rFonts w:ascii="Times New Roman" w:hAnsi="Times New Roman"/>
                <w:bCs/>
                <w:lang w:eastAsia="pl-PL"/>
              </w:rPr>
              <w:t>zachęci funkcjonariuszy do kontynuowania służby w Straży Granicznej</w:t>
            </w:r>
            <w:r>
              <w:rPr>
                <w:rFonts w:ascii="Times New Roman" w:hAnsi="Times New Roman"/>
                <w:lang w:eastAsia="pl-PL"/>
              </w:rPr>
              <w:t>, co będzie miało pozytywny wpływ na bezpieczeństwo</w:t>
              <w:br/>
              <w:t xml:space="preserve">i </w:t>
            </w:r>
            <w:r>
              <w:rPr>
                <w:rFonts w:ascii="Times New Roman" w:hAnsi="Times New Roman"/>
                <w:spacing w:val="-2"/>
              </w:rPr>
              <w:t xml:space="preserve">ochronę granicy państwowej. </w:t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Wykonanie przepisów rozporządzenia nastąpi z dniem 1 marca 2023 r.</w:t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przewiduje się ewaluacji efektów projektu oraz stosowania mierników.</w:t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60" w:after="60"/>
              <w:ind w:left="31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>
        <w:trPr>
          <w:trHeight w:val="142" w:hRule="atLeast"/>
        </w:trPr>
        <w:tc>
          <w:tcPr>
            <w:tcW w:w="110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załączników.</w:t>
            </w:r>
          </w:p>
        </w:tc>
      </w:tr>
    </w:tbl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720" w:right="707" w:gutter="0" w:header="0" w:top="568" w:footer="0" w:bottom="568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ar-SA" w:val="pl-PL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963d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i w:val="fals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Symbol" w:hAnsi="Symbol" w:cs="Symbol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>
      <w:rFonts w:ascii="Wingdings" w:hAnsi="Wingdings" w:cs="Wingdings"/>
    </w:rPr>
  </w:style>
  <w:style w:type="character" w:styleId="WW8Num5z2" w:customStyle="1">
    <w:name w:val="WW8Num5z2"/>
    <w:qFormat/>
    <w:rPr>
      <w:rFonts w:cs="Times New Roman"/>
    </w:rPr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Times New Roman" w:hAnsi="Times New Roman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Times New Roman" w:hAnsi="Times New Roman" w:cs="Times New Roman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Domylnaczcionkaakapitu1" w:customStyle="1">
    <w:name w:val="Domyślna czcionka akapitu1"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qFormat/>
    <w:rPr/>
  </w:style>
  <w:style w:type="character" w:styleId="StopkaZnak" w:customStyle="1">
    <w:name w:val="Stopka Znak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/>
  </w:style>
  <w:style w:type="character" w:styleId="TematkomentarzaZnak" w:customStyle="1">
    <w:name w:val="Temat komentarza Znak"/>
    <w:qFormat/>
    <w:rPr>
      <w:b/>
      <w:bCs/>
    </w:rPr>
  </w:style>
  <w:style w:type="character" w:styleId="TekstprzypisudolnegoZnak" w:customStyle="1">
    <w:name w:val="Tekst przypisu dolnego Znak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Czeinternetowe">
    <w:name w:val="Hyperlink"/>
    <w:rPr>
      <w:color w:val="0000FF"/>
      <w:u w:val="single"/>
    </w:rPr>
  </w:style>
  <w:style w:type="character" w:styleId="Odwiedzoneczeinternetowe">
    <w:name w:val="FollowedHyperlink"/>
    <w:rPr>
      <w:color w:val="800080"/>
      <w:u w:val="single"/>
    </w:rPr>
  </w:style>
  <w:style w:type="character" w:styleId="St" w:customStyle="1">
    <w:name w:val="st"/>
    <w:basedOn w:val="Domylnaczcionkaakapitu1"/>
    <w:qFormat/>
    <w:rPr/>
  </w:style>
  <w:style w:type="character" w:styleId="Wyrnienie">
    <w:name w:val="Emphasis"/>
    <w:qFormat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783d"/>
    <w:rPr>
      <w:sz w:val="16"/>
      <w:szCs w:val="16"/>
    </w:rPr>
  </w:style>
  <w:style w:type="character" w:styleId="TekstkomentarzaZnak1" w:customStyle="1">
    <w:name w:val="Tekst komentarza Znak1"/>
    <w:basedOn w:val="DefaultParagraphFont"/>
    <w:link w:val="Annotationtext"/>
    <w:uiPriority w:val="99"/>
    <w:semiHidden/>
    <w:qFormat/>
    <w:rsid w:val="0080783d"/>
    <w:rPr>
      <w:rFonts w:ascii="Calibri" w:hAnsi="Calibri" w:eastAsia="Calibri"/>
      <w:lang w:eastAsia="ar-SA"/>
    </w:rPr>
  </w:style>
  <w:style w:type="character" w:styleId="Nagwek2Znak" w:customStyle="1">
    <w:name w:val="Nagłówek 2 Znak"/>
    <w:basedOn w:val="DefaultParagraphFont"/>
    <w:uiPriority w:val="9"/>
    <w:qFormat/>
    <w:rsid w:val="008963d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  <w:lang w:val="x-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pacing w:lineRule="auto" w:line="240"/>
    </w:pPr>
    <w:rPr>
      <w:sz w:val="20"/>
      <w:szCs w:val="20"/>
      <w:lang w:val="x-none"/>
    </w:rPr>
  </w:style>
  <w:style w:type="paragraph" w:styleId="Stopka">
    <w:name w:val="Footer"/>
    <w:basedOn w:val="Normal"/>
    <w:pPr>
      <w:spacing w:lineRule="auto" w:line="240"/>
    </w:pPr>
    <w:rPr>
      <w:sz w:val="20"/>
      <w:szCs w:val="20"/>
      <w:lang w:val="x-none"/>
    </w:rPr>
  </w:style>
  <w:style w:type="paragraph" w:styleId="Przypiskocowy">
    <w:name w:val="Endnote Text"/>
    <w:basedOn w:val="Normal"/>
    <w:pPr>
      <w:spacing w:lineRule="auto" w:line="240"/>
    </w:pPr>
    <w:rPr>
      <w:sz w:val="20"/>
      <w:szCs w:val="20"/>
      <w:lang w:val="x-none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ekstkomentarza1" w:customStyle="1">
    <w:name w:val="Tekst komentarza1"/>
    <w:basedOn w:val="Normal"/>
    <w:qFormat/>
    <w:pPr/>
    <w:rPr>
      <w:sz w:val="20"/>
      <w:szCs w:val="20"/>
      <w:lang w:val="x-none"/>
    </w:rPr>
  </w:style>
  <w:style w:type="paragraph" w:styleId="Annotationsubject">
    <w:name w:val="annotation subject"/>
    <w:basedOn w:val="Tekstkomentarza1"/>
    <w:next w:val="Tekstkomentarza1"/>
    <w:qFormat/>
    <w:pPr/>
    <w:rPr>
      <w:b/>
      <w:bCs/>
    </w:rPr>
  </w:style>
  <w:style w:type="paragraph" w:styleId="Przypisdolny">
    <w:name w:val="Footnote Text"/>
    <w:basedOn w:val="Normal"/>
    <w:pPr/>
    <w:rPr>
      <w:sz w:val="20"/>
      <w:szCs w:val="20"/>
      <w:lang w:val="x-none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80783d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1C9D-51D6-43E9-A072-2D5A0B3C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6</Pages>
  <Words>2255</Words>
  <Characters>15315</Characters>
  <CharactersWithSpaces>17340</CharactersWithSpaces>
  <Paragraphs>309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2022-12-15T08:02:00Z</dcterms:created>
  <dc:creator>Wiesław Żelaźnicki</dc:creator>
  <dc:description/>
  <dc:language>pl-PL</dc:language>
  <cp:lastModifiedBy>Świątkowski Piotr</cp:lastModifiedBy>
  <cp:lastPrinted>2022-11-25T09:58:00Z</cp:lastPrinted>
  <dcterms:modified xsi:type="dcterms:W3CDTF">2022-12-15T08:02:00Z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